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486A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</w:p>
    <w:p w14:paraId="373DD7AF" w14:textId="77777777" w:rsidR="00E65010" w:rsidRPr="00E65010" w:rsidRDefault="00E65010" w:rsidP="00E65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Arial" w:eastAsia="Arial" w:hAnsi="Arial" w:cs="Times New Roman"/>
          <w:kern w:val="0"/>
          <w:sz w:val="32"/>
          <w:szCs w:val="32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32"/>
          <w:szCs w:val="32"/>
          <w:lang w:eastAsia="fr-FR"/>
          <w14:ligatures w14:val="none"/>
        </w:rPr>
        <w:t>MANUEL DES SPECIFICATIONS DE L’ORGANISME DE GESTION DE NAVIGABILITE (CAME-FR)</w:t>
      </w:r>
    </w:p>
    <w:p w14:paraId="5A8831DC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</w:p>
    <w:p w14:paraId="35EDA43B" w14:textId="77777777" w:rsidR="00E65010" w:rsidRPr="00E65010" w:rsidRDefault="00E65010" w:rsidP="00E65010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</w:pPr>
      <w:bookmarkStart w:id="0" w:name="_Toc230006775"/>
      <w:r w:rsidRPr="00E65010"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  <w:t>PAGE DE GARDE</w:t>
      </w:r>
      <w:bookmarkEnd w:id="0"/>
    </w:p>
    <w:p w14:paraId="78C24711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La page de garde doit préciser :</w:t>
      </w:r>
    </w:p>
    <w:p w14:paraId="502D5CFF" w14:textId="77777777" w:rsidR="00E65010" w:rsidRPr="00E65010" w:rsidRDefault="00E65010" w:rsidP="00E65010">
      <w:pPr>
        <w:spacing w:before="120" w:after="0" w:line="280" w:lineRule="atLeast"/>
        <w:ind w:left="720" w:right="567" w:hanging="360"/>
        <w:contextualSpacing/>
        <w:jc w:val="both"/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  <w:t>Nom officiel (</w:t>
      </w:r>
      <w:proofErr w:type="spellStart"/>
      <w:r w:rsidRPr="00E65010"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  <w:t>Kbis</w:t>
      </w:r>
      <w:proofErr w:type="spellEnd"/>
      <w:r w:rsidRPr="00E65010"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  <w:t>) et nom commercial de l’organisme, le cas échéant</w:t>
      </w:r>
    </w:p>
    <w:p w14:paraId="77558C5C" w14:textId="77777777" w:rsidR="00E65010" w:rsidRPr="00E65010" w:rsidRDefault="00E65010" w:rsidP="00E65010">
      <w:pPr>
        <w:spacing w:before="120" w:after="0" w:line="280" w:lineRule="atLeast"/>
        <w:ind w:left="720" w:right="567" w:hanging="360"/>
        <w:contextualSpacing/>
        <w:jc w:val="both"/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  <w:t>Numéro d’agrément</w:t>
      </w:r>
    </w:p>
    <w:p w14:paraId="27F68A94" w14:textId="77777777" w:rsidR="00E65010" w:rsidRPr="00E65010" w:rsidRDefault="00E65010" w:rsidP="00E65010">
      <w:pPr>
        <w:spacing w:before="120" w:after="0" w:line="280" w:lineRule="atLeast"/>
        <w:ind w:left="720" w:right="567" w:hanging="360"/>
        <w:contextualSpacing/>
        <w:jc w:val="both"/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  <w:t>Adresse (postale et électronique), numéros de téléphone du Siège Social et de la Direction Technique</w:t>
      </w:r>
    </w:p>
    <w:p w14:paraId="382F0BA2" w14:textId="77777777" w:rsidR="00E65010" w:rsidRPr="00E65010" w:rsidRDefault="00E65010" w:rsidP="00E65010">
      <w:pPr>
        <w:spacing w:before="120" w:after="0" w:line="280" w:lineRule="atLeast"/>
        <w:ind w:left="720" w:right="567" w:hanging="360"/>
        <w:contextualSpacing/>
        <w:jc w:val="both"/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18"/>
          <w:lang w:eastAsia="fr-FR"/>
          <w14:ligatures w14:val="none"/>
        </w:rPr>
        <w:t>Numéro d'identification du manuel/Edition/Date/Référence.</w:t>
      </w:r>
    </w:p>
    <w:p w14:paraId="7FDE24B5" w14:textId="77777777" w:rsidR="00E65010" w:rsidRPr="00E65010" w:rsidRDefault="00E65010" w:rsidP="00E65010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</w:pPr>
      <w:bookmarkStart w:id="1" w:name="_Toc230006776"/>
      <w:r w:rsidRPr="00E65010"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  <w:t>LISTE DES PAGES EN VIGUEUR</w:t>
      </w:r>
      <w:bookmarkEnd w:id="1"/>
    </w:p>
    <w:p w14:paraId="08333250" w14:textId="77777777" w:rsidR="00E65010" w:rsidRPr="00E65010" w:rsidRDefault="00E65010" w:rsidP="00E65010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</w:pPr>
      <w:bookmarkStart w:id="2" w:name="_Toc230006777"/>
      <w:r w:rsidRPr="00E65010"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  <w:t>LISTE DES EDITIONS/AMENDEMENTS DU DOCUMENT AVEC LES DATES D'EDITION/AMENDEMENT ASSOCIEES</w:t>
      </w:r>
      <w:bookmarkEnd w:id="2"/>
    </w:p>
    <w:p w14:paraId="2F1DD299" w14:textId="77777777" w:rsidR="00E65010" w:rsidRPr="00E65010" w:rsidRDefault="00E65010" w:rsidP="00E65010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</w:pPr>
      <w:bookmarkStart w:id="3" w:name="_Toc230006778"/>
      <w:r w:rsidRPr="00E65010"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  <w:t>PAGES D'AMENDEMENTS</w:t>
      </w:r>
      <w:bookmarkEnd w:id="3"/>
    </w:p>
    <w:p w14:paraId="2624FF84" w14:textId="77777777" w:rsidR="00E65010" w:rsidRPr="00E65010" w:rsidRDefault="00E65010" w:rsidP="00E65010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</w:pPr>
      <w:bookmarkStart w:id="4" w:name="_Toc230006779"/>
      <w:r w:rsidRPr="00E65010"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  <w:t>LISTE DES DESTINATAIRES</w:t>
      </w:r>
      <w:bookmarkEnd w:id="4"/>
    </w:p>
    <w:p w14:paraId="746B2CD0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La liste de diffusion du manuel CAME-FR doit être intégrée afin de garantir une diffusion appropriée du manuel et pour démontrer à l’autorité que tous les personnels impliqués ont accès à l’information nécessaire. Cela ne signifie pas que tout le personnel doit être destinataire du manuel mais qu’un nombre suffisant de manuels doit être disponible à l’intérieur de l’organisme afin que le personnel concerné y ait un accès aisé et rapide.</w:t>
      </w:r>
    </w:p>
    <w:p w14:paraId="4EA31ACD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En fonction du destinataire, les parties pertinentes du manuel doivent notamment être diffusées :</w:t>
      </w:r>
    </w:p>
    <w:p w14:paraId="62481265" w14:textId="77777777" w:rsidR="00E65010" w:rsidRPr="00E65010" w:rsidRDefault="00E65010" w:rsidP="00E65010">
      <w:pPr>
        <w:numPr>
          <w:ilvl w:val="1"/>
          <w:numId w:val="1"/>
        </w:numPr>
        <w:spacing w:before="120" w:after="0" w:line="240" w:lineRule="auto"/>
        <w:ind w:left="709"/>
        <w:contextualSpacing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au</w:t>
      </w:r>
      <w:proofErr w:type="gramEnd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 personnel de l’exploitant, </w:t>
      </w:r>
    </w:p>
    <w:p w14:paraId="01F6AA6D" w14:textId="77777777" w:rsidR="00E65010" w:rsidRPr="00E65010" w:rsidRDefault="00E65010" w:rsidP="00E65010">
      <w:pPr>
        <w:numPr>
          <w:ilvl w:val="1"/>
          <w:numId w:val="1"/>
        </w:numPr>
        <w:spacing w:before="120" w:after="0" w:line="240" w:lineRule="auto"/>
        <w:ind w:left="709"/>
        <w:contextualSpacing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au</w:t>
      </w:r>
      <w:proofErr w:type="gramEnd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 personnel d’encadrement de l’organisme et à toute autre personne impliquée,</w:t>
      </w:r>
    </w:p>
    <w:p w14:paraId="6EF4C321" w14:textId="77777777" w:rsidR="00E65010" w:rsidRPr="00E65010" w:rsidRDefault="00E65010" w:rsidP="00E65010">
      <w:pPr>
        <w:numPr>
          <w:ilvl w:val="1"/>
          <w:numId w:val="1"/>
        </w:numPr>
        <w:spacing w:before="120" w:after="0" w:line="240" w:lineRule="auto"/>
        <w:ind w:left="709"/>
        <w:contextualSpacing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aux</w:t>
      </w:r>
      <w:proofErr w:type="gramEnd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 organismes d’entretien contractés (Partie 145-FR, CAO-FR, Part-145 EASA le cas échéant),</w:t>
      </w:r>
    </w:p>
    <w:p w14:paraId="3EEEB749" w14:textId="77777777" w:rsidR="00E65010" w:rsidRPr="00E65010" w:rsidRDefault="00E65010" w:rsidP="00E65010">
      <w:pPr>
        <w:numPr>
          <w:ilvl w:val="1"/>
          <w:numId w:val="1"/>
        </w:numPr>
        <w:spacing w:before="120" w:after="0" w:line="240" w:lineRule="auto"/>
        <w:ind w:left="709"/>
        <w:contextualSpacing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aux</w:t>
      </w:r>
      <w:proofErr w:type="gramEnd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 sous-traitants,</w:t>
      </w:r>
    </w:p>
    <w:p w14:paraId="66FA4475" w14:textId="77777777" w:rsidR="00E65010" w:rsidRPr="00E65010" w:rsidRDefault="00E65010" w:rsidP="00E65010">
      <w:pPr>
        <w:numPr>
          <w:ilvl w:val="1"/>
          <w:numId w:val="1"/>
        </w:numPr>
        <w:spacing w:before="120" w:after="0" w:line="240" w:lineRule="auto"/>
        <w:ind w:left="709"/>
        <w:contextualSpacing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à</w:t>
      </w:r>
      <w:proofErr w:type="gramEnd"/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 OSAC.</w:t>
      </w:r>
    </w:p>
    <w:p w14:paraId="2A212DA6" w14:textId="77777777" w:rsidR="00E65010" w:rsidRPr="00E65010" w:rsidRDefault="00E65010" w:rsidP="00E65010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</w:pPr>
      <w:bookmarkStart w:id="5" w:name="_Toc230006780"/>
      <w:r w:rsidRPr="00E65010">
        <w:rPr>
          <w:rFonts w:ascii="Arial" w:eastAsia="Times New Roman" w:hAnsi="Arial" w:cs="Arial"/>
          <w:b/>
          <w:bCs/>
          <w:color w:val="484D7A"/>
          <w:kern w:val="0"/>
          <w:sz w:val="28"/>
          <w:szCs w:val="28"/>
          <w:lang w:eastAsia="fr-FR"/>
          <w14:ligatures w14:val="none"/>
        </w:rPr>
        <w:t>TABLE DES MATIERES</w:t>
      </w:r>
      <w:bookmarkEnd w:id="5"/>
    </w:p>
    <w:p w14:paraId="55E0F76B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65010"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  <w:t>Part 0 Organisation générale, politique sécurité et objectifs</w:t>
      </w:r>
    </w:p>
    <w:p w14:paraId="3280B3F7" w14:textId="77777777" w:rsidR="00E65010" w:rsidRPr="00E65010" w:rsidRDefault="00E65010" w:rsidP="00E65010">
      <w:pPr>
        <w:spacing w:after="0" w:line="240" w:lineRule="auto"/>
        <w:ind w:left="426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0.1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Politique sécurité, objectifs et engagement du Dirigeant responsable.</w:t>
      </w:r>
    </w:p>
    <w:p w14:paraId="0E84DA62" w14:textId="77777777" w:rsidR="00E65010" w:rsidRPr="00E65010" w:rsidRDefault="00E65010" w:rsidP="00E65010">
      <w:pPr>
        <w:spacing w:after="0" w:line="240" w:lineRule="auto"/>
        <w:ind w:left="426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0.2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Information générale et domaine d’activité.</w:t>
      </w:r>
    </w:p>
    <w:p w14:paraId="19BA984D" w14:textId="77777777" w:rsidR="00E65010" w:rsidRPr="00E65010" w:rsidRDefault="00E65010" w:rsidP="00E65010">
      <w:pPr>
        <w:spacing w:after="0" w:line="240" w:lineRule="auto"/>
        <w:ind w:left="426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0.3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Personnel.</w:t>
      </w:r>
    </w:p>
    <w:p w14:paraId="26718C61" w14:textId="77777777" w:rsidR="00E65010" w:rsidRPr="00E65010" w:rsidRDefault="00E65010" w:rsidP="00E65010">
      <w:pPr>
        <w:spacing w:after="0" w:line="240" w:lineRule="auto"/>
        <w:ind w:left="426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0.4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Organigramme.</w:t>
      </w:r>
    </w:p>
    <w:p w14:paraId="6D2326DF" w14:textId="77777777" w:rsidR="00E65010" w:rsidRPr="00E65010" w:rsidRDefault="00E65010" w:rsidP="00E65010">
      <w:pPr>
        <w:spacing w:after="0" w:line="240" w:lineRule="auto"/>
        <w:ind w:left="426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0.5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 xml:space="preserve">Procédure relative aux évolutions soumises à approbation préalable </w:t>
      </w:r>
    </w:p>
    <w:p w14:paraId="78973DB5" w14:textId="77777777" w:rsidR="00E65010" w:rsidRPr="00E65010" w:rsidRDefault="00E65010" w:rsidP="00E65010">
      <w:pPr>
        <w:spacing w:after="0" w:line="240" w:lineRule="auto"/>
        <w:ind w:left="426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0.6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Procédure relative aux évolutions non soumises à approbation préalable.</w:t>
      </w:r>
    </w:p>
    <w:p w14:paraId="5D273CF7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65010"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 xml:space="preserve">Part 1 Procédures de gestion du maintien de la navigabilité </w:t>
      </w:r>
    </w:p>
    <w:p w14:paraId="455AC571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1.1a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 xml:space="preserve">Utilisation du système d’enregistrement de la gestion du maintien de la navigabilité de l’aéronef, et si applicable, du système de compte rendu matériel d’aéronef. </w:t>
      </w:r>
    </w:p>
    <w:p w14:paraId="4655679A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1.1b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Application de la LME.</w:t>
      </w:r>
    </w:p>
    <w:p w14:paraId="557459D5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1.2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Programme d’Entretien aéronef (PE) – Développement, Amendement et approbation.</w:t>
      </w:r>
    </w:p>
    <w:p w14:paraId="6BA726E1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1.3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Enregistrement de maintien de la navigabilité : responsabilités, archivage, accès.</w:t>
      </w:r>
    </w:p>
    <w:p w14:paraId="068B722A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1.4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Exécution et contrôle des consignes de navigabilité.</w:t>
      </w:r>
    </w:p>
    <w:p w14:paraId="2EA76271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1.5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Analyse de l’efficacité du PE aéronef.</w:t>
      </w:r>
    </w:p>
    <w:p w14:paraId="667850D4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1.6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Procédure de mise en œuvre des modifications et inspections optionnelles.</w:t>
      </w:r>
    </w:p>
    <w:p w14:paraId="30C1D5AB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1.7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Traitement des modifications et réparations.</w:t>
      </w:r>
    </w:p>
    <w:p w14:paraId="172ED63E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1.8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Notification de défauts.</w:t>
      </w:r>
    </w:p>
    <w:p w14:paraId="7ADDC92F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1.9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Activités d’ingénierie.</w:t>
      </w:r>
    </w:p>
    <w:p w14:paraId="297C06EA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1.10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Programme de fiabilité.</w:t>
      </w:r>
    </w:p>
    <w:p w14:paraId="1621F5C9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1.11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Visite pré vol.</w:t>
      </w:r>
    </w:p>
    <w:p w14:paraId="2FDECB08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1.12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Pesée de l’aéronef.</w:t>
      </w:r>
    </w:p>
    <w:p w14:paraId="111FAF6D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1.13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Procédures de vol de contrôle de maintenance.</w:t>
      </w:r>
    </w:p>
    <w:p w14:paraId="0799A0F3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65010"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  <w:t>Part 2 Procédures du système de gestion</w:t>
      </w:r>
    </w:p>
    <w:p w14:paraId="2BC02E2B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2.1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Identification des dangers et gestion des risques</w:t>
      </w:r>
    </w:p>
    <w:p w14:paraId="06B801B0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2.2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Recueil des événements internes et traitements</w:t>
      </w:r>
    </w:p>
    <w:p w14:paraId="5C257D26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2.3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Planification des actions de sécurité</w:t>
      </w:r>
    </w:p>
    <w:p w14:paraId="253F0E32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2.4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Surveillance de la performance de la sécurité</w:t>
      </w:r>
    </w:p>
    <w:p w14:paraId="7F106382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2.5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Gestion du changement</w:t>
      </w:r>
    </w:p>
    <w:p w14:paraId="32C68024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2.6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Formation et promotion de la sécurité</w:t>
      </w:r>
    </w:p>
    <w:p w14:paraId="042EC01F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2.7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Plan d’action immédiat et coordination avec le plan d’intervention d’urgence (ERP) de l’opérateur</w:t>
      </w:r>
    </w:p>
    <w:p w14:paraId="108D0CFA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2.8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Surveillance de la conformité</w:t>
      </w:r>
    </w:p>
    <w:p w14:paraId="0E3790A4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2.8.1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Programme et procédures d’audits.</w:t>
      </w:r>
    </w:p>
    <w:p w14:paraId="04B49170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2.8.2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Surveillance des activités de gestion du maintien de navigabilité.</w:t>
      </w:r>
    </w:p>
    <w:p w14:paraId="1E3C2F76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2.8.3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Surveillance de l’efficacité du (des) programme(s) d’entretien.</w:t>
      </w:r>
    </w:p>
    <w:p w14:paraId="05F57712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2.8.4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Surveillance que tout l’entretien est effectué par un organisme de maintenance approprié.</w:t>
      </w:r>
    </w:p>
    <w:p w14:paraId="34E59FAB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2.8.5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Surveillance que tout l’entretien réalisé sous contrat est effectué en accord avec le(s) contrat(s) incluant la surveillance des sous-traitants utilisés par le/les organismes agréées objet(s) du/des contrat(s).</w:t>
      </w:r>
    </w:p>
    <w:p w14:paraId="682B2A73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2.8.6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Personnel de la surveillance de la conformité.</w:t>
      </w:r>
    </w:p>
    <w:p w14:paraId="5B087AFB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2.9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Contrôle des compétences du personnel</w:t>
      </w:r>
    </w:p>
    <w:p w14:paraId="6F62DD07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2.10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Archivage des enregistrements du système de gestion</w:t>
      </w:r>
    </w:p>
    <w:p w14:paraId="3EC63A52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2.11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Comptes rendus d’événements</w:t>
      </w:r>
    </w:p>
    <w:p w14:paraId="55B84177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65010"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  <w:t>Part 3 Contrat(s) de maintenance – Gestion de la maintenance</w:t>
      </w:r>
    </w:p>
    <w:p w14:paraId="18B45EBB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3.1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Procédure de sélection du/des organismes contractés pour la réalisation de la maintenance</w:t>
      </w:r>
    </w:p>
    <w:p w14:paraId="5AA2E002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3.2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Audit produit aéronef.</w:t>
      </w:r>
    </w:p>
    <w:p w14:paraId="35788FC8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65010"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  <w:t>Part 4A Procédures d’examen de navigabilité</w:t>
      </w:r>
    </w:p>
    <w:p w14:paraId="6D30CA70" w14:textId="77777777" w:rsidR="00E65010" w:rsidRPr="00E65010" w:rsidRDefault="00E65010" w:rsidP="00E65010">
      <w:pPr>
        <w:spacing w:before="120" w:after="0" w:line="240" w:lineRule="auto"/>
        <w:ind w:left="1418" w:hanging="1134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u w:val="single"/>
          <w:lang w:eastAsia="fr-FR"/>
          <w14:ligatures w14:val="none"/>
        </w:rPr>
        <w:t>Sous-partie A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 : Examen de navigabilité réalisé par une entité externe : organisme agréé autre que l’organisme ou OSAC </w:t>
      </w:r>
    </w:p>
    <w:p w14:paraId="03D32247" w14:textId="77777777" w:rsidR="00E65010" w:rsidRPr="00E65010" w:rsidRDefault="00E65010" w:rsidP="00E65010">
      <w:pPr>
        <w:spacing w:after="0" w:line="240" w:lineRule="auto"/>
        <w:ind w:left="426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4.0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Appel à une entité extérieure</w:t>
      </w:r>
    </w:p>
    <w:p w14:paraId="55D6AD5F" w14:textId="77777777" w:rsidR="00E65010" w:rsidRPr="00E65010" w:rsidRDefault="00E65010" w:rsidP="00E65010">
      <w:pPr>
        <w:spacing w:before="120" w:after="0" w:line="240" w:lineRule="auto"/>
        <w:ind w:left="1418" w:hanging="1134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u w:val="single"/>
          <w:lang w:eastAsia="fr-FR"/>
          <w14:ligatures w14:val="none"/>
        </w:rPr>
        <w:t>Sous-partie B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 : Examen de navigabilité réalisé par l’organisme agréé CAMO+I et Prorogation d’un CEN</w:t>
      </w:r>
    </w:p>
    <w:p w14:paraId="27C5FC77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4.1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Personnel d’examen de navigabilité</w:t>
      </w:r>
    </w:p>
    <w:p w14:paraId="71732ABC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4.2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Examen des enregistrements de l’aéronef</w:t>
      </w:r>
    </w:p>
    <w:p w14:paraId="6A3B4F67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4.3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Examen physique de l’aéronef</w:t>
      </w:r>
    </w:p>
    <w:p w14:paraId="00620BD9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4.4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Réservé</w:t>
      </w:r>
    </w:p>
    <w:p w14:paraId="4C6D26C0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4.5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 xml:space="preserve">Réservé </w:t>
      </w:r>
    </w:p>
    <w:p w14:paraId="12745FF5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4.6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Emission du certificat d’examen de navigabilité</w:t>
      </w:r>
    </w:p>
    <w:p w14:paraId="1591F174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4.7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Procédure de revue des enregistrements des examens de navigabilité, responsabilités, conservation et accès</w:t>
      </w:r>
    </w:p>
    <w:p w14:paraId="1AE8B281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4.8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Prolongation (prorogation) des certificats d’examen de navigabilité.</w:t>
      </w:r>
    </w:p>
    <w:p w14:paraId="6C14BDA7" w14:textId="77777777" w:rsidR="00E65010" w:rsidRPr="00E65010" w:rsidRDefault="00E65010" w:rsidP="00E65010">
      <w:pPr>
        <w:spacing w:before="120" w:after="0" w:line="240" w:lineRule="auto"/>
        <w:jc w:val="both"/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65010">
        <w:rPr>
          <w:rFonts w:ascii="Arial" w:eastAsia="Arial" w:hAnsi="Arial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Part 5 Documents associés</w:t>
      </w:r>
    </w:p>
    <w:p w14:paraId="72BC91BF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5.1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Exemples de documents incluant le CRM</w:t>
      </w:r>
    </w:p>
    <w:p w14:paraId="473043BF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5.2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Liste du personnel d'examen de navigabilité le cas échéant</w:t>
      </w:r>
    </w:p>
    <w:p w14:paraId="21A3DDDD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5.3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 xml:space="preserve">Liste des sous-traitants de gestion selon CAMO.FR.125(d)(3) </w:t>
      </w:r>
    </w:p>
    <w:p w14:paraId="26833B35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5.4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Liste des organismes de maintenance sous contrat et liste des contrats de maintenance selon CAMO.FR.300(a)(13)</w:t>
      </w:r>
    </w:p>
    <w:p w14:paraId="13832484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 xml:space="preserve">5.5 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 xml:space="preserve">Copie du contrat de sous-traitance en gestion </w:t>
      </w:r>
    </w:p>
    <w:p w14:paraId="291CA1A3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5.6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Liste des programmes d’entretien approuvés selon CAMO.FR.300(a)(12)</w:t>
      </w:r>
    </w:p>
    <w:p w14:paraId="4A71C135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5.7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Réservé</w:t>
      </w:r>
    </w:p>
    <w:p w14:paraId="090DE3AD" w14:textId="77777777" w:rsidR="00E65010" w:rsidRPr="00E65010" w:rsidRDefault="00E65010" w:rsidP="00E65010">
      <w:pPr>
        <w:spacing w:after="0" w:line="240" w:lineRule="auto"/>
        <w:ind w:left="1418" w:hanging="992"/>
        <w:jc w:val="both"/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</w:pP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>5.8</w:t>
      </w:r>
      <w:r w:rsidRPr="00E65010">
        <w:rPr>
          <w:rFonts w:ascii="Arial" w:eastAsia="Arial" w:hAnsi="Arial" w:cs="Times New Roman"/>
          <w:kern w:val="0"/>
          <w:sz w:val="20"/>
          <w:szCs w:val="20"/>
          <w:lang w:eastAsia="fr-FR"/>
          <w14:ligatures w14:val="none"/>
        </w:rPr>
        <w:tab/>
        <w:t>Liste des documents, procédures et manuels associés au manuel CAME-FR</w:t>
      </w:r>
    </w:p>
    <w:p w14:paraId="20D5A59F" w14:textId="3AA87C2A" w:rsidR="00135F3B" w:rsidRDefault="00135F3B"/>
    <w:sectPr w:rsidR="0013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002FA"/>
    <w:multiLevelType w:val="hybridMultilevel"/>
    <w:tmpl w:val="AF7A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10"/>
    <w:rsid w:val="00135F3B"/>
    <w:rsid w:val="00241CC1"/>
    <w:rsid w:val="00E6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124B"/>
  <w15:chartTrackingRefBased/>
  <w15:docId w15:val="{2CD4BFAB-38C4-422C-8797-19C5621D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5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5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5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5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5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5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5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5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5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50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50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50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50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50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50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5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50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50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50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0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5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DOUEK Raphaël</dc:creator>
  <cp:keywords/>
  <dc:description/>
  <cp:lastModifiedBy>DOUEK Raphaël</cp:lastModifiedBy>
  <cp:revision>1</cp:revision>
  <dcterms:created xsi:type="dcterms:W3CDTF">2026-05-18T12:28:00Z</dcterms:created>
  <dcterms:modified xsi:type="dcterms:W3CDTF">2026-05-18T12:30:00Z</dcterms:modified>
</cp:coreProperties>
</file>